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SEAG — Gerichtliche Entscheidung über die Zusammensetzung des Verwaltungsrats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streitig oder ungewiss, nach welchen Vorschriften der Verwaltungsrat zusammenzusetzen ist, so entscheidet darüber auf Antrag ausschließlich das Landgericht, in dessen Bezirk die Gesellschaft ihren Sitz hat.</w:t>
      </w:r>
    </w:p>
    <w:p>
      <w:r>
        <w:t xml:space="preserve">(2) Antragsberechtigt sind</w:t>
      </w:r>
    </w:p>
    <w:p>
      <w:pPr>
        <w:ind w:left="420"/>
      </w:pPr>
      <w:r>
        <w:t xml:space="preserve">1. jedes Mitglied des Verwaltungsrats,</w:t>
      </w:r>
    </w:p>
    <w:p>
      <w:pPr>
        <w:ind w:left="420"/>
      </w:pPr>
      <w:r>
        <w:t xml:space="preserve">2. jeder Aktionär,</w:t>
      </w:r>
    </w:p>
    <w:p>
      <w:pPr>
        <w:ind w:left="420"/>
      </w:pPr>
      <w:r>
        <w:t xml:space="preserve">3. die nach § 98 Abs. 2 Satz 1 Nr. 4 bis 10 des Aktiengesetzes Antragsberechtigten,</w:t>
      </w:r>
    </w:p>
    <w:p>
      <w:pPr>
        <w:ind w:left="420"/>
      </w:pPr>
      <w:r>
        <w:t xml:space="preserve">4. der SE-Betriebsrat.</w:t>
      </w:r>
    </w:p>
    <w:p>
      <w:r>
        <w:t xml:space="preserve">(3) Entspricht die Zusammensetzung des Verwaltungsrats nicht der gerichtlichen Entscheidung, so ist der neue Verwaltungsrat nach den in der Entscheidung angegebenen Vorschriften zusammenzusetzen. § 25 Abs. 2 gilt entsprechend mit der Maßgabe, dass die Frist von sechs Monaten mit dem Eintritt der Rechtskraft beginnt.</w:t>
      </w:r>
    </w:p>
    <w:p>
      <w:r>
        <w:t xml:space="preserve">(4) Für das Verfahren gilt § 99 des Aktiengesetzes entsprechend mit der Maßgabe, dass die nach Absatz 5 der Vorschrift vorgesehene Einreichung der rechtskräftigen Entscheidung durch den Vorsitzenden des Verwaltungsrats erfolgt.</w:t>
      </w:r>
    </w:p>
    <w:p>
      <w:r>
        <w:rPr>
          <w:color w:val="555555"/>
          <w:sz w:val="17"/>
        </w:rPr>
        <w:t xml:space="preserve">Zitiervorschlag: § 26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