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SEAG — Zahl der Mitglieder und Zusammensetzung des Aufsichtsorgans</w:t>
      </w:r>
    </w:p>
    <w:p>
      <w:r>
        <w:rPr>
          <w:color w:val="555555"/>
          <w:sz w:val="18"/>
        </w:rPr>
        <w:t xml:space="preserve">SE-Ausführungsgesetz</w:t>
      </w:r>
    </w:p>
    <w:p>
      <w:r>
        <w:rPr>
          <w:color w:val="555555"/>
          <w:sz w:val="18"/>
        </w:rPr>
        <w:t xml:space="preserve">Stand: 10.06.2019 (konsolidierte Textfassung, kein amtliches Inkrafttretensdatum)</w:t>
      </w:r>
    </w:p>
    <w:p>
      <w:r>
        <w:t xml:space="preserve">(1) Das Aufsichtsorgan besteht aus drei Mitgliedern. Die Satzung kann eine bestimmte höhere Zahl festsetzen. Die Zahl muss durch drei teilbar sein, wenn dies für die Beteiligung der Arbeitnehmer auf Grund des SE-Beteiligungsgesetzes erforderlich ist. Die Höchstzahl beträgt bei Gesellschaften mit einem Grundkapital</w:t>
      </w:r>
    </w:p>
    <w:p>
      <w:r>
        <w:rPr>
          <w:rFonts w:ascii="Courier New" w:hAnsi="Courier New"/>
          <w:sz w:val="17"/>
        </w:rPr>
        <w:t xml:space="preserve">bis zu 1 500 000 Euro    neun,</w:t>
      </w:r>
    </w:p>
    <w:p>
      <w:r>
        <w:rPr>
          <w:rFonts w:ascii="Courier New" w:hAnsi="Courier New"/>
          <w:sz w:val="17"/>
        </w:rPr>
        <w:t xml:space="preserve">von mehr als 1 500 000 Euro    fünfzehn,</w:t>
      </w:r>
    </w:p>
    <w:p>
      <w:r>
        <w:rPr>
          <w:rFonts w:ascii="Courier New" w:hAnsi="Courier New"/>
          <w:sz w:val="17"/>
        </w:rPr>
        <w:t xml:space="preserve">von mehr als 10 000 000 Euro    einundzwanzig.</w:t>
      </w:r>
    </w:p>
    <w:p>
      <w:r>
        <w:t xml:space="preserve">(2) Besteht bei einer börsennotierten SE das Aufsichtsorgan aus derselben Zahl von Anteilseigner- und Arbeitnehmervertretern, müssen in dem Aufsichtsorgan Frauen und Männer jeweils mit einem Anteil von mindestens 30 Prozent vertreten sein. Der Mindestanteil von jeweils 30 Prozent an Frauen und Männern im Aufsichtsorgan ist bei erforderlich werdenden Neubesetzungen einzelner oder mehrerer Sitze im Aufsichtsorgan zu beachten. Reicht die Zahl der neu zu besetzenden Sitze nicht aus, um den Mindestanteil zu erreichen, sind die Sitze mit Personen des unterrepräsentierten Geschlechts zu besetzen, um dessen Anteil sukzessive zu steigern. Bestehende Mandate können bis zu ihrem regulären Ende wahrgenommen werden.</w:t>
      </w:r>
    </w:p>
    <w:p>
      <w:r>
        <w:t xml:space="preserve">(3) Die Beteiligung der Arbeitnehmer nach dem SE-Beteiligungsgesetz bleibt unberührt.</w:t>
      </w:r>
    </w:p>
    <w:p>
      <w:r>
        <w:t xml:space="preserve">(4) Für Verfahren entsprechend den §§ 98, 99 oder 104 des Aktiengesetzes ist auch der SE-Betriebsrat antragsberechtigt. Für Klagen entsprechend § 250 des Aktiengesetzes ist auch der SE-Betriebsrat parteifähig; § 252 des Aktiengesetzes gilt entsprechend.</w:t>
      </w:r>
    </w:p>
    <w:p>
      <w:r>
        <w:t xml:space="preserve">(5) § 251 des Aktiengesetzes findet mit der Maßgabe Anwendung, dass das gesetzeswidrige Zustandekommen von Wahlvorschlägen für die Arbeitnehmervertreter im Aufsichtsorgan nur nach den Vorschriften der Mitgliedstaaten über die Besetzung der ihnen zugewiesenen Sitze geltend gemacht werden kann. Für die Arbeitnehmervertreter aus dem Inland gilt § 37 Abs. 2 des SE-Beteiligungsgesetzes.</w:t>
      </w:r>
    </w:p>
    <w:p>
      <w:r>
        <w:rPr>
          <w:color w:val="555555"/>
          <w:sz w:val="17"/>
        </w:rPr>
        <w:t xml:space="preserve">Zitiervorschlag: § 17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