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SEAG — Abfindungsangebot im Verlegungsplan</w:t>
      </w:r>
    </w:p>
    <w:p>
      <w:r>
        <w:rPr>
          <w:color w:val="555555"/>
          <w:sz w:val="18"/>
        </w:rPr>
        <w:t xml:space="preserve">SE-Ausführungsgesetz</w:t>
      </w:r>
    </w:p>
    <w:p>
      <w:r>
        <w:rPr>
          <w:color w:val="555555"/>
          <w:sz w:val="18"/>
        </w:rPr>
        <w:t xml:space="preserve">Stand: 10.06.2019 (konsolidierte Textfassung, kein amtliches Inkrafttretensdatum)</w:t>
      </w:r>
    </w:p>
    <w:p>
      <w:r>
        <w:t xml:space="preserve">(1) Verlegt eine SE nach Maßgabe von Artikel 8 der Verordnung ihren Sitz, hat sie jedem Aktionär, der gegen den Verlegungsbeschluss Widerspruch zur Niederschrift erklärt, den Erwerb seiner Aktien gegen eine angemessene Barabfindung anzubieten. Die Vorschriften des Aktiengesetzes über den Erwerb eigener Aktien gelten entsprechend, jedoch ist § 71 Abs. 4 Satz 2 des Aktiengesetzes insoweit nicht anzuwenden. Die Bekanntmachung des Verlegungsplans als Gegenstand der Beschlussfassung muss den Wortlaut dieses Angebots enthalten. Die Gesellschaft hat die Kosten für eine Übertragung zu tragen. § 29 Abs. 2 des Umwandlungsgesetzes findet entsprechende Anwendung.</w:t>
      </w:r>
    </w:p>
    <w:p>
      <w:r>
        <w:t xml:space="preserve">(2) § 7 Abs. 2 bis 7 findet entsprechende Anwendung, wobei an die Stelle der Eintragung und Bekanntmachung der Verschmelzung die Eintragung und Bekanntmachung der SE im neuen Sitzstaat tritt.</w:t>
      </w:r>
    </w:p>
    <w:p>
      <w:r>
        <w:rPr>
          <w:color w:val="555555"/>
          <w:sz w:val="17"/>
        </w:rPr>
        <w:t xml:space="preserve">Zitiervorschlag: § 12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