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SEAG — Verbesserung des Umtauschverhältnisses</w:t>
      </w:r>
    </w:p>
    <w:p>
      <w:r>
        <w:rPr>
          <w:color w:val="555555"/>
          <w:sz w:val="18"/>
        </w:rPr>
        <w:t xml:space="preserve">SE-Ausführungsgesetz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bei der Gründung einer Holding-SE nach dem Verfahren der Verordnung das Umtauschverhältnis der Anteile nicht angemessen, so kann jeder Anteilsinhaber der die Gründung anstrebenden Gesellschaft von der Holding-SE einen Ausgleich durch bare Zuzahlung verlangen.</w:t>
      </w:r>
    </w:p>
    <w:p>
      <w:r>
        <w:t xml:space="preserve">(2) § 6 Abs. 1, 3 und 4 findet entsprechende Anwendung, wobei an die Stelle der Eintragung und Bekanntmachung der Verschmelzung die Eintragung und Bekanntmachung der Gründung der Holding-SE tritt.</w:t>
      </w:r>
    </w:p>
    <w:p>
      <w:r>
        <w:rPr>
          <w:color w:val="555555"/>
          <w:sz w:val="17"/>
        </w:rPr>
        <w:t xml:space="preserve">Zitiervorschlag: § 11 SEAG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https://recht.nulegal.eu/gesetze/SEAG/11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