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SDLWindV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2009, 1745)</w:t>
      </w:r>
    </w:p>
    <w:p>
      <w:r>
        <w:t xml:space="preserve">mit Nneu = Anzahl aller neu errichteten oder repowerten Windenergie-Erzeugungseinheiten und der gesamten Betriebsbereiten installierten Wirkleistung.</w:t>
      </w:r>
    </w:p>
    <w:p>
      <w:r>
        <w:t xml:space="preserve">mit NWEA = Anzahl aller alten und neuen Windenergie-Erzeugungseinheiten in der erweiterten Windenergie-Erzeugungsanlage.</w:t>
      </w:r>
    </w:p>
    <w:p>
      <w:r>
        <w:t xml:space="preserve">Qvb, gefordert ist die gemäß §§ 2 und 3 geforderte Verfügbare Blindleistung Qvb, wenn eine Windenergie-Erzeugungsanlage ausschließlich aus neu errichteten oder repowerten Windenergie-Erzeugungseinheiten bestehen würde.</w:t>
      </w:r>
    </w:p>
    <w:p>
      <w:r>
        <w:t xml:space="preserve">Qvb, anteilig, NAP ist die anteilig am Netzverknüpfungspunkt geforderte Verfügbare Blindleistung Qvb, wenn eine erweiterte Windenergie-Erzeugungsanlage sowohl aus neu errichteten als auch aus alten Windenergie-Erzeugungseinheiten besteht:</w:t>
      </w:r>
    </w:p>
    <w:p>
      <w:r>
        <w:rPr>
          <w:color w:val="555555"/>
          <w:sz w:val="17"/>
        </w:rPr>
        <w:t xml:space="preserve">Zitiervorschlag: Anlage 2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