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SDLWindV — Inkrafttreten</w:t>
      </w:r>
    </w:p>
    <w:p>
      <w:r>
        <w:rPr>
          <w:color w:val="555555"/>
          <w:sz w:val="18"/>
        </w:rPr>
        <w:t xml:space="preserve">Systemdienstleistungsverordnung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SDLWindV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https://recht.nulegal.eu/gesetze/SDLWindV/9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