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SDLWindV — Mehrere Windenergieanlagen</w:t>
      </w:r>
    </w:p>
    <w:p>
      <w:r>
        <w:rPr>
          <w:color w:val="555555"/>
          <w:sz w:val="18"/>
        </w:rPr>
        <w:t xml:space="preserve">Systemdienstleistungsverordnung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einem Anschluss mehrerer Windenergieanlagen an einen Netzverknüpfungspunkt gilt für die Zuordnung des Systemdienstleistungs-Bonus § 24 Absatz 3 des Erneuerbare-Energien-Gesetzes entsprechend.</w:t>
      </w:r>
    </w:p>
    <w:p>
      <w:r>
        <w:rPr>
          <w:color w:val="555555"/>
          <w:sz w:val="17"/>
        </w:rPr>
        <w:t xml:space="preserve">Zitiervorschlag: § 7 SDLWindV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https://recht.nulegal.eu/gesetze/SDLWindV/7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