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SDLWindV — Anschluss verschiedener Anlagen an einem Netzverknüpfungspunkt</w:t>
      </w:r>
    </w:p>
    <w:p>
      <w:r>
        <w:rPr>
          <w:color w:val="555555"/>
          <w:sz w:val="18"/>
        </w:rPr>
        <w:t xml:space="preserve">Systemdienstleistungsverordnung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technischen und betrieblichen Vorgaben nach § 9 Absatz 6 des Erneuerbare-Energien-Gesetzes gelten als erfüllt, wenn mehrere Windenergieanlagen an einen Netzverknüpfungspunkt angeschlossen werden, von denen mindestens eine bis zum 31. März 2011 in Betrieb genommen wurde, und die Anforderungen nach § 2 oder § 3 mit Maßgabe der folgenden Anforderungen erfüllt werden:</w:t>
      </w:r>
    </w:p>
    <w:p>
      <w:pPr>
        <w:ind w:left="420"/>
      </w:pPr>
      <w:r>
        <w:t xml:space="preserve">1. die Anforderungen an die verfügbare Blindleistungsbereitstellung auch nach Maßgabe der Anlage 2 und</w:t>
      </w:r>
    </w:p>
    <w:p>
      <w:pPr>
        <w:ind w:left="420"/>
      </w:pPr>
      <w:r>
        <w:t xml:space="preserve">2. die Anforderungen an die Blindstrombereitstellung zur dynamischen Netzstützung nach Maßgabe des TransmissionCodes 2007 auch an der Unterspannungsseite des Maschinentransformators oder einem in der Wirkung vergleichbaren Bezugspunkt.</w:t>
      </w:r>
    </w:p>
    <w:p>
      <w:r>
        <w:rPr>
          <w:color w:val="555555"/>
          <w:sz w:val="17"/>
        </w:rPr>
        <w:t xml:space="preserve">Zitiervorschlag: § 4 SDLWindV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https://recht.nulegal.eu/gesetze/SDLWindV/4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