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SDLWindV — Anschluss an das Mittelspannungsnetz</w:t>
      </w:r>
    </w:p>
    <w:p>
      <w:r>
        <w:rPr>
          <w:color w:val="555555"/>
          <w:sz w:val="18"/>
        </w:rPr>
        <w:t xml:space="preserve">Systemdienstleistungsverordnung</w:t>
      </w:r>
    </w:p>
    <w:p>
      <w:r>
        <w:rPr>
          <w:color w:val="555555"/>
          <w:sz w:val="18"/>
        </w:rPr>
        <w:t xml:space="preserve">Stand: 10.06.2019 (konsolidierte Textfassung, kein amtliches Inkrafttretensdatum)</w:t>
      </w:r>
    </w:p>
    <w:p>
      <w:r>
        <w:t xml:space="preserve">(1) Betreiberinnen und Betreiber von Windenergieanlagen an Land nach § 3 Nummer 48 des Erneuerbare-Energien-Gesetzes, die an das Mittelspannungsnetz angeschlossen werden, müssen am Netzverknüpfungspunkt einzeln oder gemeinsam mit anderen Anlagen oder durch zusätzliche technische oder betriebliche Einrichtungen die Anforderungen der technischen Richtlinie des Bundesverbandes der Energie- und Wasserwirtschaft „Erzeugungsanlagen am Mittelspannungsnetz“, Ausgabe Juni 2008 (Mittelspannungsrichtlinie 2008) (BAnz. Nr. 67a vom 6. Mai 2009) in Verbindung mit „Regelungen und Übergangsfristen für bestimmte Anforderungen in Ergänzung zur technischen Richtlinie: Erzeugungsanlagen am Mittelspannungsnetz”, Stand 1. Januar 2013 (Ergänzung vom 1. Januar 2013) (BAnz AT 12.11.2014 B3) erfüllen, soweit in dieser Verordnung nichts Abweichendes geregelt ist.</w:t>
      </w:r>
    </w:p>
    <w:p>
      <w:r>
        <w:t xml:space="preserve">(2) Abschnitt 2.5.1.2 der Mittelspannungsrichtlinie 2008 in Verbindung mit der Ergänzung vom 1. Januar 2013 gilt mit der Maßgabe, dass während eines Netzfehlers die Netzspannung durch Einspeisung eines Blindstroms in das Netz gemäß Nummer II.12.d und Nummer II.12.e der Anlage 1 sichergestellt werden muss.</w:t>
      </w:r>
    </w:p>
    <w:p>
      <w:r>
        <w:rPr>
          <w:color w:val="555555"/>
          <w:sz w:val="17"/>
        </w:rPr>
        <w:t xml:space="preserve">Zitiervorschlag: § 2 SDLWindV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https://recht.nulegal.eu/gesetze/SDLWindV/2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