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SDLWindV — Anwendungsbereich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technischen und betrieblichen Vorgaben nach § 9 Absatz 6 des Erneuerbare-Energien-Gesetzes und</w:t>
      </w:r>
    </w:p>
    <w:p>
      <w:pPr>
        <w:ind w:left="420"/>
      </w:pPr>
      <w:r>
        <w:t xml:space="preserve">2. die Anforderungen an den Systemdienstleistungs-Bonus nach § 66 Absatz 1 Nummer 8 des Erneuerbare-Energien-Gesetzes in der am 31. Juli 2014 geltenden Fassung und wie der Nachweis zu führen ist.</w:t>
      </w:r>
    </w:p>
    <w:p>
      <w:r>
        <w:rPr>
          <w:color w:val="555555"/>
          <w:sz w:val="17"/>
        </w:rPr>
        <w:t xml:space="preserve">Zitiervorschlag: § 1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