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SDDSG — Anwendung des Bundesdatenschutzgesetzes</w:t>
      </w:r>
    </w:p>
    <w:p>
      <w:r>
        <w:rPr>
          <w:color w:val="555555"/>
          <w:sz w:val="18"/>
        </w:rPr>
        <w:t xml:space="preserve">DRK-Suchdienstdatenschutzgesetz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Soweit in diesem Gesetz keine abweichenden Regelungen getroffen sind, sind Teil 1 und Teil 2 des Bundesdatenschutzgesetzes anzuwenden.</w:t>
      </w:r>
    </w:p>
    <w:p>
      <w:r>
        <w:rPr>
          <w:color w:val="555555"/>
          <w:sz w:val="17"/>
        </w:rPr>
        <w:t xml:space="preserve">Zitiervorschlag: § 6 SDDSG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https://recht.nulegal.eu/gesetze/SDDSG/6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