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SDDSG — Begrenzung der Verpflichtung zur Löschung</w:t>
      </w:r>
    </w:p>
    <w:p>
      <w:r>
        <w:rPr>
          <w:color w:val="555555"/>
          <w:sz w:val="18"/>
        </w:rPr>
        <w:t xml:space="preserve">DRK-Suchdienstdatenschutzgesetz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Verpflichtung des Verantwortlichen zur Löschung personenbezogener Daten gemäß Artikel 17 Absatz 1 und 2 der Verordnung (EU) 2016/679 besteht ergänzend zu den in Artikel 17 Absatz 3 der Verordnung (EU) 2016/679 genannten Ausnahmen nicht, wenn anzunehmen ist, dass durch die Löschung schutzwürdige Belange der betroffenen Person beeinträchtigt werden.</w:t>
      </w:r>
    </w:p>
    <w:p>
      <w:r>
        <w:rPr>
          <w:color w:val="555555"/>
          <w:sz w:val="17"/>
        </w:rPr>
        <w:t xml:space="preserve">Zitiervorschlag: § 5 SDDSG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https://recht.nulegal.eu/gesetze/SDDSG/5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