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SDDSG — Anwendungsbereich des Gesetzes</w:t>
      </w:r>
    </w:p>
    <w:p>
      <w:r>
        <w:rPr>
          <w:color w:val="555555"/>
          <w:sz w:val="18"/>
        </w:rPr>
        <w:t xml:space="preserve">DRK-Suchdienstdatenschutzgesetz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Dieses Gesetz regelt den Umgang des Suchdienstes des Deutschen Roten Kreuzes (DRK-Suchdienst) mit personenbezogenen Daten, soweit der DRK-Suchdienst im Auftrag der Bundesregierung tätig ist.</w:t>
      </w:r>
    </w:p>
    <w:p>
      <w:r>
        <w:t xml:space="preserve">(2) Die Vorschriften dieses Gesetzes sind nicht anzuwenden, soweit das Recht der Europäischen Union, im Besonderen die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Fassung, unmittelbar gilt.</w:t>
      </w:r>
    </w:p>
    <w:p>
      <w:r>
        <w:rPr>
          <w:color w:val="555555"/>
          <w:sz w:val="17"/>
        </w:rPr>
        <w:t xml:space="preserve">Zitiervorschlag: § 1 SDDSG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https://recht.nulegal.eu/gesetze/SDDSG/1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