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SCEBG — Sonderregelung aus Anlass der COVID-19-Pandemie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20.09.2022 (konsolidierte Textfassung, kein amtliches Inkrafttretensdatum)</w:t>
      </w:r>
    </w:p>
    <w:p>
      <w:r>
        <w:t xml:space="preserve">Bis zum Ablauf des 7. April 2023 können im Rahmen der Unterrichtung und Anhörung die Teilnahme an Sitzungen eines SCE-Betriebsrats oder einer Arbeitnehmervertretung nach § 21 Absatz 2 sowie die Beschlussfassung auch mittels Video- und Telefonkonferenz erfolgen, wenn sichergestellt ist, dass Dritte vom Inhalt der Sitzung keine Kenntnis nehmen können. Eine Aufzeichnung ist unzulässig.</w:t>
      </w:r>
    </w:p>
    <w:p>
      <w:r>
        <w:rPr>
          <w:color w:val="555555"/>
          <w:sz w:val="17"/>
        </w:rPr>
        <w:t xml:space="preserve">Zitiervorschlag: § 50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SCEBG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