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SCEBG — Geltung nationalen Rechts</w:t>
      </w:r>
    </w:p>
    <w:p>
      <w:r>
        <w:rPr>
          <w:color w:val="555555"/>
          <w:sz w:val="18"/>
        </w:rPr>
        <w:t xml:space="preserve">SCE-Beteiligungsgesetz</w:t>
      </w:r>
    </w:p>
    <w:p>
      <w:r>
        <w:rPr>
          <w:color w:val="555555"/>
          <w:sz w:val="18"/>
        </w:rPr>
        <w:t xml:space="preserve">Stand: 10.06.2019 (konsolidierte Textfassung, kein amtliches Inkrafttretensdatum)</w:t>
      </w:r>
    </w:p>
    <w:p>
      <w:r>
        <w:t xml:space="preserve">(1) Dieses Gesetz berührt nicht die den Arbeitnehmern nach inländischen Rechtsvorschriften und Regelungen zustehenden Beteiligungsrechte, mit Ausnahme</w:t>
      </w:r>
    </w:p>
    <w:p>
      <w:pPr>
        <w:ind w:left="420"/>
      </w:pPr>
      <w:r>
        <w:t xml:space="preserve">1. der Mitbestimmung in den Organen der Europäischen Genossenschaft,</w:t>
      </w:r>
    </w:p>
    <w:p>
      <w:pPr>
        <w:ind w:left="420"/>
      </w:pPr>
      <w:r>
        <w:t xml:space="preserve">2. der Regelung des Europäische Betriebsräte-Gesetzes, es sei denn, das besondere Verhandlungsgremium hat einen Beschluss nach § 16 gefasst.</w:t>
      </w:r>
    </w:p>
    <w:p>
      <w:r>
        <w:t xml:space="preserve">(2) Regelungen und Strukturen über die Arbeitnehmervertretungen einer beteiligten juristischen Person mit Sitz im Inland, die durch die Gründung der Europäischen Genossenschaft als eigenständige juristische Person erlischt, bestehen nach Eintragung der Europäischen Genossenschaft fort. Die Leitung der Europäischen Genossenschaft stellt sicher, dass diese Arbeitnehmervertretungen ihre Aufgaben weiterhin wahrnehmen können.</w:t>
      </w:r>
    </w:p>
    <w:p>
      <w:r>
        <w:rPr>
          <w:color w:val="555555"/>
          <w:sz w:val="17"/>
        </w:rPr>
        <w:t xml:space="preserve">Zitiervorschlag: § 49 SCEBG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https://recht.nulegal.eu/gesetze/SCEBG/49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