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SCEBG — Missbrauchsverbot</w:t>
      </w:r>
    </w:p>
    <w:p>
      <w:r>
        <w:rPr>
          <w:color w:val="555555"/>
          <w:sz w:val="18"/>
        </w:rPr>
        <w:t xml:space="preserve">SCE-Beteiligungsgesetz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Eine Europäische Genossenschaft darf nicht dazu missbraucht werden, den Arbeitnehmern Beteiligungsrechte zu entziehen oder vorzuenthalten. Missbrauch wird vermutet, wenn ohne Durchführung eines Verfahrens nach § 18 Abs. 3 innerhalb eines Jahres nach Gründung der Europäischen Genossenschaft strukturelle Änderungen stattfinden, die bewirken, dass den Arbeitnehmern Beteiligungsrechte vorenthalten oder entzogen werden.</w:t>
      </w:r>
    </w:p>
    <w:p>
      <w:r>
        <w:rPr>
          <w:color w:val="555555"/>
          <w:sz w:val="17"/>
        </w:rPr>
        <w:t xml:space="preserve">Zitiervorschlag: § 45 SCEBG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https://recht.nulegal.eu/gesetze/SCEBG/45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