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SCEBG — Tendenzunternehmen</w:t>
      </w:r>
    </w:p>
    <w:p>
      <w:r>
        <w:rPr>
          <w:color w:val="555555"/>
          <w:sz w:val="18"/>
        </w:rPr>
        <w:t xml:space="preserve">SCE-Beteiligungsgesetz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eine Europäische Genossenschaft, die unmittelbar und überwiegend</w:t>
      </w:r>
    </w:p>
    <w:p>
      <w:pPr>
        <w:ind w:left="420"/>
      </w:pPr>
      <w:r>
        <w:t xml:space="preserve">1. politischen, koalitionspolitischen, konfessionellen, karitativen, erzieherischen, wissenschaftlichen oder künstlerischen Bestimmungen oder</w:t>
      </w:r>
    </w:p>
    <w:p>
      <w:pPr>
        <w:ind w:left="420"/>
      </w:pPr>
      <w:r>
        <w:t xml:space="preserve">2. Zwecken der Berichterstattung oder Meinungsäußerung, auf die Artikel 5 Abs. 1 Satz 2 des Grundgesetzes anzuwenden ist,</w:t>
      </w:r>
    </w:p>
    <w:p>
      <w:r>
        <w:t xml:space="preserve">dient, findet Abschnitt 2 keine Anwendung.</w:t>
      </w:r>
    </w:p>
    <w:p>
      <w:r>
        <w:t xml:space="preserve">(2) Eine Unterrichtung und Anhörung beschränkt sich auf die Gegenstände des § 28 Abs. 2 Nr. 5 bis 10 und des § 29 und erfolgt nur über den Ausgleich oder die Milderung der wirtschaftlichen Nachteile, die den Arbeitnehmern infolge der Unternehmens- oder Betriebsänderung entstehen.</w:t>
      </w:r>
    </w:p>
    <w:p>
      <w:r>
        <w:rPr>
          <w:color w:val="555555"/>
          <w:sz w:val="17"/>
        </w:rPr>
        <w:t xml:space="preserve">Zitiervorschlag: § 39 SCEBG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https://recht.nulegal.eu/gesetze/SCEBG/39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