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SCEBG — Kosten und Sachaufwand</w:t>
      </w:r>
    </w:p>
    <w:p>
      <w:r>
        <w:rPr>
          <w:color w:val="555555"/>
          <w:sz w:val="18"/>
        </w:rPr>
        <w:t xml:space="preserve">SCE-Beteiligungsgesetz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durch die Bildung und Tätigkeit des SCE-Betriebsrats und des geschäftsführenden Ausschusses entstehenden erforderlichen Kosten trägt die Europäische Genossenschaft. Im Übrigen gilt § 19 Satz 2 entsprechend.</w:t>
      </w:r>
    </w:p>
    <w:p>
      <w:r>
        <w:rPr>
          <w:color w:val="555555"/>
          <w:sz w:val="17"/>
        </w:rPr>
        <w:t xml:space="preserve">Zitiervorschlag: § 33 SCEBG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https://recht.nulegal.eu/gesetze/SCEBG/33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