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SCEBG — Fortbildung</w:t>
      </w:r>
    </w:p>
    <w:p>
      <w:r>
        <w:rPr>
          <w:color w:val="555555"/>
          <w:sz w:val="18"/>
        </w:rPr>
        <w:t xml:space="preserve">SCE-Beteiligungsgesetz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SCE-Betriebsrat kann Mitglieder zur Teilnahme an Schulungs- und Bildungsveranstaltungen bestimmen, soweit diese Kenntnisse vermitteln, die für die Arbeit des SCE-Betriebsrats erforderlich sind. Der SCE-Betriebsrat hat die Teilnahme und die zeitliche Lage rechtzeitig der Leitung der Europäischen Genossenschaft mitzuteilen. Bei der Festlegung der zeitlichen Lage sind die betrieblichen Notwendigkeiten zu berücksichtigen.</w:t>
      </w:r>
    </w:p>
    <w:p>
      <w:r>
        <w:rPr>
          <w:color w:val="555555"/>
          <w:sz w:val="17"/>
        </w:rPr>
        <w:t xml:space="preserve">Zitiervorschlag: § 31 SCEBG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https://recht.nulegal.eu/gesetze/SCEBG/31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