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SCEBG — Sitzungen und Beschlüsse</w:t>
      </w:r>
    </w:p>
    <w:p>
      <w:r>
        <w:rPr>
          <w:color w:val="555555"/>
          <w:sz w:val="18"/>
        </w:rPr>
        <w:t xml:space="preserve">SCE-Beteiligungsgesetz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SCE-Betriebsrat soll sich eine schriftliche Geschäftsordnung geben, die er mit der Mehrheit seiner Mitglieder beschließt.</w:t>
      </w:r>
    </w:p>
    <w:p>
      <w:r>
        <w:t xml:space="preserve">(2) Vor Sitzungen mit der Leitung der Europäischen Genossenschaft ist der SCE-Betriebsrat oder der geschäftsführende Ausschuss - gegebenenfalls in der nach § 29 Abs. 3 erweiterten Zusammensetzung - berechtigt, in Abwesenheit der Vertreter der Leitung der Europäischen Genossenschaft zu tagen. Mit Einverständnis der Leitung der Europäischen Genossenschaft kann der SCE-Betriebsrat weitere Sitzungen durchführen. Die Sitzungen des SCE-Betriebsrats sind nicht öffentlich.</w:t>
      </w:r>
    </w:p>
    <w:p>
      <w:r>
        <w:t xml:space="preserve">(3) Der SCE-Betriebsrat ist beschlussfähig, wenn mindestens die Hälfte seiner Mitglieder anwesend ist. Die Beschlüsse des SCE-Betriebsrats werden, soweit in diesem Gesetz nichts anderes bestimmt ist, mit der Mehrheit der anwesenden Mitglieder gefasst.</w:t>
      </w:r>
    </w:p>
    <w:p>
      <w:r>
        <w:rPr>
          <w:color w:val="555555"/>
          <w:sz w:val="17"/>
        </w:rPr>
        <w:t xml:space="preserve">Zitiervorschlag: § 24 SCEBG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https://recht.nulegal.eu/gesetze/SCEBG/24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SCEBG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