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SCEBG — Voraussetzung</w:t>
      </w:r>
    </w:p>
    <w:p>
      <w:r>
        <w:rPr>
          <w:color w:val="555555"/>
          <w:sz w:val="18"/>
        </w:rPr>
        <w:t xml:space="preserve">SCE-Beteiligungsgesetz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23 bis 33 über den SCE-Betriebsrat kraft Gesetzes finden ab dem Zeitpunkt der Eintragung der Europäischen Genossenschaft Anwendung, wenn</w:t>
      </w:r>
    </w:p>
    <w:p>
      <w:pPr>
        <w:ind w:left="420"/>
      </w:pPr>
      <w:r>
        <w:t xml:space="preserve">1. die Parteien dies vereinbaren oder</w:t>
      </w:r>
    </w:p>
    <w:p>
      <w:pPr>
        <w:ind w:left="420"/>
      </w:pPr>
      <w:r>
        <w:t xml:space="preserve">2. bis zum Ende des in § 20 angegebenen Zeitraums keine Vereinbarung zustande gekommen ist und das besondere Verhandlungsgremium keinen Beschluss nach § 16 gefasst hat.</w:t>
      </w:r>
    </w:p>
    <w:p>
      <w:r>
        <w:t xml:space="preserve">(2) Absatz 1 gilt entsprechend im Fall des § 18 Abs. 3.</w:t>
      </w:r>
    </w:p>
    <w:p>
      <w:r>
        <w:rPr>
          <w:color w:val="555555"/>
          <w:sz w:val="17"/>
        </w:rPr>
        <w:t xml:space="preserve">Zitiervorschlag: § 22 SCEBG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https://recht.nulegal.eu/gesetze/SCEBG/22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