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SCEAG — Zulassung investierender Mitglieder</w:t>
      </w:r>
    </w:p>
    <w:p>
      <w:r>
        <w:rPr>
          <w:color w:val="555555"/>
          <w:sz w:val="18"/>
        </w:rPr>
        <w:t xml:space="preserve">SCE-Ausführungsgesetz</w:t>
      </w:r>
    </w:p>
    <w:p>
      <w:r>
        <w:rPr>
          <w:color w:val="555555"/>
          <w:sz w:val="18"/>
        </w:rPr>
        <w:t xml:space="preserve">Stand: 10.06.2019 (konsolidierte Textfassung, kein amtliches Inkrafttretensdatum)</w:t>
      </w:r>
    </w:p>
    <w:p>
      <w:r>
        <w:t xml:space="preserve">Die Satzung der Europäischen Genossenschaft kann bestimmen, dass Personen, die für die Nutzung oder Produktion der Güter und die Nutzung oder Erbringung der Dienste der Europäischen Genossenschaft nicht in Frage kommen, als investierende Mitglieder zugelassen werden können.</w:t>
      </w:r>
    </w:p>
    <w:p>
      <w:r>
        <w:rPr>
          <w:color w:val="555555"/>
          <w:sz w:val="17"/>
        </w:rPr>
        <w:t xml:space="preserve">Zitiervorschlag: § 4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