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SCEAG — Straf- und Bußgeldvorschriften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02.03.2023 (konsolidierte Textfassung, kein amtliches Inkrafttretensdatum)</w:t>
      </w:r>
    </w:p>
    <w:p>
      <w:r>
        <w:t xml:space="preserve">(1) Die Strafvorschriften der §§ 147 bis 151a des Genossenschaftsgesetzes, des § 15a Absatz 4 bis 6 der Insolvenzordnung, des § 340m in Verbindung mit den §§ 331 bis 333 des Handelsgesetzbuchs und der §§ 346 bis 349 des Umwandlungsgesetzes sowie die Bußgeldvorschriften des § 152 des Genossenschaftsgesetzes und des § 340n des Handelsgesetzbuchs gelten auch für die Europäische Genossenschaft im Sinn des Artikels 8 Abs. 1 Buchstabe c Nr. ii der Verordnung (EG) Nr. 1435/2003. Soweit sie</w:t>
      </w:r>
    </w:p>
    <w:p>
      <w:pPr>
        <w:ind w:left="420"/>
      </w:pPr>
      <w:r>
        <w:t xml:space="preserve">1. Mitglieder des Vorstands,</w:t>
      </w:r>
    </w:p>
    <w:p>
      <w:pPr>
        <w:ind w:left="420"/>
      </w:pPr>
      <w:r>
        <w:t xml:space="preserve">2. Mitglieder des Aufsichtsrats oder</w:t>
      </w:r>
    </w:p>
    <w:p>
      <w:pPr>
        <w:ind w:left="420"/>
      </w:pPr>
      <w:r>
        <w:t xml:space="preserve">3. Mitglieder des vertretungsberechtigten Organs</w:t>
      </w:r>
    </w:p>
    <w:p>
      <w:r>
        <w:t xml:space="preserve">einer Genossenschaft betreffen, gelten sie bei der Europäischen Genossenschaft mit dualistischem System in den Fällen der Nummern 1 und 3 für die Mitglieder des Leitungsorgans und in den Fällen der Nummer 2 für die Mitglieder des Aufsichtsorgans. Bei der Europäischen Genossenschaft mit monistischem System gelten sie in den Fällen des Satzes 2 Nr. 1 und 3 für die geschäftsführenden Direktoren und in den Fällen des Satzes 2 Nr. 2 für die Mitglieder des Verwaltungsrats. § 153 des Genossenschaftsgesetzes gilt bei Anwendung der Strafvorschriften des § 151a des Genossenschaftsgesetzes sowie der Bußgeldvorschriften des § 152 Absatz 1a des Genossenschaftsgesetzes entsprechend.</w:t>
      </w:r>
    </w:p>
    <w:p>
      <w:r>
        <w:t xml:space="preserve">(2) Mit Freiheitsstrafe bis zu drei Jahren oder mit Geldstrafe wird bestraft, wer</w:t>
      </w:r>
    </w:p>
    <w:p>
      <w:pPr>
        <w:ind w:left="420"/>
      </w:pPr>
      <w:r>
        <w:t xml:space="preserve">1. als Vorstandsmitglied entgegen § 9 Satz 2,</w:t>
      </w:r>
    </w:p>
    <w:p>
      <w:pPr>
        <w:ind w:left="420"/>
      </w:pPr>
      <w:r>
        <w:t xml:space="preserve">2. als Mitglied des Leitungsorgans einer Europäischen Genossenschaft mit dualistischem System oder als geschäftsführender Direktor einer Europäischen Genossenschaft mit monistischem System entgegen § 11 Abs. 3 Nr. 1 oder</w:t>
      </w:r>
    </w:p>
    <w:p>
      <w:pPr>
        <w:ind w:left="420"/>
      </w:pPr>
      <w:r>
        <w:t xml:space="preserve">3. als geschäftsführender Direktor einer Europäischen Genossenschaft mit monistischem System entgegen § 17 Abs. 2 Satz 1, auch in Verbindung mit § 26 Satz 2,</w:t>
      </w:r>
    </w:p>
    <w:p>
      <w:r>
        <w:t xml:space="preserve">eine Versicherung nicht richtig abgibt.</w:t>
      </w:r>
    </w:p>
    <w:p>
      <w:r>
        <w:rPr>
          <w:color w:val="555555"/>
          <w:sz w:val="17"/>
        </w:rPr>
        <w:t xml:space="preserve">Zitiervorschlag: § 36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