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SCEAG — Prüfung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Prüfung der Europäischen Genossenschaft gelten die §§ 53 bis 64c des Genossenschaftsgesetzes entsprechend.</w:t>
      </w:r>
    </w:p>
    <w:p>
      <w:r>
        <w:t xml:space="preserve">(2) Handelt es sich bei der Europäischen Genossenschaft um ein Kreditinstitut, gilt § 340k Abs. 1 und 2 des Handelsgesetzbuchs entsprechend.</w:t>
      </w:r>
    </w:p>
    <w:p>
      <w:r>
        <w:rPr>
          <w:color w:val="555555"/>
          <w:sz w:val="17"/>
        </w:rPr>
        <w:t xml:space="preserve">Zitiervorschlag: § 34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