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SCEAG — Abberufung der Mitglieder des Verwaltungsrats</w:t>
      </w:r>
    </w:p>
    <w:p>
      <w:r>
        <w:rPr>
          <w:color w:val="555555"/>
          <w:sz w:val="18"/>
        </w:rPr>
        <w:t xml:space="preserve">SCE-Ausführungsgesetz</w:t>
      </w:r>
    </w:p>
    <w:p>
      <w:r>
        <w:rPr>
          <w:color w:val="555555"/>
          <w:sz w:val="18"/>
        </w:rPr>
        <w:t xml:space="preserve">Stand: 10.06.2019 (konsolidierte Textfassung, kein amtliches Inkrafttretensdatum)</w:t>
      </w:r>
    </w:p>
    <w:p>
      <w:r>
        <w:t xml:space="preserve">Mitglieder des Verwaltungsrats, die von der Generalversammlung ohne Bindung an einen Wahlvorschlag gewählt worden sind, können von ihr vor Ablauf der Amtszeit abberufen werden. Der Beschluss bedarf einer Mehrheit von mindestens drei Vierteln der abgegebenen Stimmen.</w:t>
      </w:r>
    </w:p>
    <w:p>
      <w:r>
        <w:rPr>
          <w:color w:val="555555"/>
          <w:sz w:val="17"/>
        </w:rPr>
        <w:t xml:space="preserve">Zitiervorschlag: § 20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