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SCEAG — Aufgaben und Rechte des Verwaltungsrats</w:t>
      </w:r>
    </w:p>
    <w:p>
      <w:r>
        <w:rPr>
          <w:color w:val="555555"/>
          <w:sz w:val="18"/>
        </w:rPr>
        <w:t xml:space="preserve">SCE-Ausführungsgesetz</w:t>
      </w:r>
    </w:p>
    <w:p>
      <w:r>
        <w:rPr>
          <w:color w:val="555555"/>
          <w:sz w:val="18"/>
        </w:rPr>
        <w:t xml:space="preserve">Stand: 10.06.2019 (konsolidierte Textfassung, kein amtliches Inkrafttretensdatum)</w:t>
      </w:r>
    </w:p>
    <w:p>
      <w:r>
        <w:t xml:space="preserve">(1) Der Verwaltungsrat leitet die Europäische Genossenschaft, bestimmt die Grundlinien ihrer Tätigkeit und überwacht deren Umsetzung.</w:t>
      </w:r>
    </w:p>
    <w:p>
      <w:r>
        <w:t xml:space="preserve">(2) Der Verwaltungsrat hat eine Generalversammlung einzuberufen, wenn dies im Interesse der Europäischen Genossenschaft erforderlich ist.</w:t>
      </w:r>
    </w:p>
    <w:p>
      <w:r>
        <w:t xml:space="preserve">(3) Der Verwaltungsrat stellt sicher, dass die erforderlichen Handelsbücher geführt werden. Er kann jederzeit selbst oder durch einzelne von ihm zu bestimmende Verwaltungsratsmitglieder die Bücher und Schriften der Europäischen Genossenschaft sowie den Bestand der Genossenschaftskasse und die Bestände an Wertpapieren und Waren einsehen und prüfen.</w:t>
      </w:r>
    </w:p>
    <w:p>
      <w:r>
        <w:t xml:space="preserve">(4) Ergibt sich bei Aufstellung der Jahresbilanz oder einer Zwischenbilanz oder ist bei pflichtgemäßem Ermessen anzunehmen, dass ein Verlust besteht, der durch die Hälfte des Gesamtbetrags der Geschäftsguthaben und die Rücklagen nicht gedeckt ist, hat der Verwaltungsrat unverzüglich die Generalversammlung einzuberufen und ihr dies anzuzeigen. Bei Zahlungsunfähigkeit oder Überschuldung der Europäischen Genossenschaft hat der Verwaltungsrat den Insolvenzantrag nach § 15a Abs. 1 der Insolvenzordnung zu stellen; zudem gilt § 99 des Genossenschaftsgesetzes entsprechend.</w:t>
      </w:r>
    </w:p>
    <w:p>
      <w:r>
        <w:t xml:space="preserve">(5) Rechtsvorschriften außerhalb dieses Gesetzes, die dem Vorstand oder dem Aufsichtsrat einer Genossenschaft Rechte oder Pflichten zuweisen, gelten für den Verwaltungsrat entsprechend, soweit nicht in diesem Gesetz für den Verwaltungsrat und für geschäftsführende Direktoren besondere Regelungen enthalten sind.</w:t>
      </w:r>
    </w:p>
    <w:p>
      <w:r>
        <w:rPr>
          <w:color w:val="555555"/>
          <w:sz w:val="17"/>
        </w:rPr>
        <w:t xml:space="preserve">Zitiervorschlag: § 18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