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SCEAG — Gläubigerschutz bei Sitzverlegung; Negativerklärung</w:t>
      </w:r>
    </w:p>
    <w:p>
      <w:r>
        <w:rPr>
          <w:color w:val="555555"/>
          <w:sz w:val="18"/>
        </w:rPr>
        <w:t xml:space="preserve">SCE-Ausführungsgesetz</w:t>
      </w:r>
    </w:p>
    <w:p>
      <w:r>
        <w:rPr>
          <w:color w:val="555555"/>
          <w:sz w:val="18"/>
        </w:rPr>
        <w:t xml:space="preserve">Stand: 01.01.2025 (konsolidierte Textfassung, kein amtliches Inkrafttretensdatum)</w:t>
      </w:r>
    </w:p>
    <w:p>
      <w:r>
        <w:t xml:space="preserve">(1) Verlegt eine Europäische Genossenschaft nach Artikel 7 der Verordnung (EG) Nr. 1435/2003 ihren Sitz, ist den Gläubigern der Europäischen Genossenschaft soweit Sicherheit zu leisten, wie sie nicht Befriedigung verlangen können, wenn sie binnen zwei Monaten nach dem Tag, an dem der Verlegungsplan offen gelegt worden ist, ihren Anspruch nach Grund und Höhe in Textform anmelden und glaubhaft machen, dass durch die Sitzverlegung die Erfüllung ihrer Forderungen gefährdet wird. Die Gläubiger sind im Verlegungsplan auf dieses Recht hinzuweisen.</w:t>
      </w:r>
    </w:p>
    <w:p>
      <w:r>
        <w:t xml:space="preserve">(2) Das Recht auf Sicherheitsleistung nach Absatz 1 steht den Gläubigern nur im Hinblick auf solche Forderungen zu, die vor oder bis zu 15 Tage nach Offenlegung des Verlegungsplans entstanden sind.</w:t>
      </w:r>
    </w:p>
    <w:p>
      <w:r>
        <w:t xml:space="preserve">(3) Das zuständige Gericht stellt die Bescheinigung nach Artikel 7 Abs. 8 der Verordnung (EG) Nr. 1435/2003 nur aus, wenn</w:t>
      </w:r>
    </w:p>
    <w:p>
      <w:pPr>
        <w:ind w:left="420"/>
      </w:pPr>
      <w:r>
        <w:t xml:space="preserve">1. bei einer Europäischen Genossenschaft mit dualistischem System die Mitglieder des Leitungsorgans und bei einer Europäischen Genossenschaft mit monistischem System die geschäftsführenden Direktoren versichern, dass allen Gläubigern, die nach den Absätzen 1 und 2 einen Anspruch auf Sicherheitsleistung haben, eine angemessene Sicherheit geleistet wurde und</w:t>
      </w:r>
    </w:p>
    <w:p>
      <w:pPr>
        <w:ind w:left="420"/>
      </w:pPr>
      <w:r>
        <w:t xml:space="preserve">2. die Vertretungsorgane der Europäischen Genossenschaft erklären, dass eine Klage gegen die Wirksamkeit des Verlegungsbeschlusses nicht oder nicht fristgemäß erhoben oder eine solche Klage rechtskräftig abgewiesen oder zurückgenommen worden ist.</w:t>
      </w:r>
    </w:p>
    <w:p>
      <w:r>
        <w:rPr>
          <w:color w:val="555555"/>
          <w:sz w:val="17"/>
        </w:rPr>
        <w:t xml:space="preserve">Zitiervorschlag: § 11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