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SBkBG</w:t>
      </w:r>
    </w:p>
    <w:p>
      <w:r>
        <w:rPr>
          <w:color w:val="555555"/>
          <w:sz w:val="18"/>
        </w:rPr>
        <w:t xml:space="preserve">Gesetz über die Staatsbank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Geschäftsjahr ist das Kalenderjahr.</w:t>
      </w:r>
    </w:p>
    <w:p>
      <w:r>
        <w:t xml:space="preserve">(2) Die Bank ist verpflichtet, nach den für Kreditinstitute geltenden Bestimmungen Jahresabschlüsse und Lageberichte aufzustellen, prüfen zu lassen und bekanntzumachen.</w:t>
      </w:r>
    </w:p>
    <w:p>
      <w:r>
        <w:t xml:space="preserve">(3) Der Verwaltungsrat bestimmt den Abschlußprüfer.</w:t>
      </w:r>
    </w:p>
    <w:p>
      <w:r>
        <w:t xml:space="preserve">(4) Der Verwaltungsrat entscheidet über die Genehmigung des Jahresabschlusses innerhalb der ersten 6 Monate nach Abschluß eines Geschäftsjahres.</w:t>
      </w:r>
    </w:p>
    <w:p>
      <w:r>
        <w:rPr>
          <w:color w:val="555555"/>
          <w:sz w:val="17"/>
        </w:rPr>
        <w:t xml:space="preserve">Zitiervorschlag: § 9 SBkBG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https://recht.nulegal.eu/gesetze/SBkBG/9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