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SBkBG</w:t>
      </w:r>
    </w:p>
    <w:p>
      <w:r>
        <w:rPr>
          <w:color w:val="555555"/>
          <w:sz w:val="18"/>
        </w:rPr>
        <w:t xml:space="preserve">Gesetz über die Staatsbank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der Bank wird vom Vorstand aufgestellt, vom Verwaltungsrat beschlossen und bedarf der Bestätigung durch den Ministerrat.</w:t>
      </w:r>
    </w:p>
    <w:p>
      <w:r>
        <w:t xml:space="preserve">(2) Änderungen der Satzung können vom Verwaltungsrat mit einer Mehrheit von zwei Dritteln der abgegebenen Stimmen, mindestens jedoch der Hälfte aller Mitglieder beschlossen werden. Sie bedürfen der Bestätigung durch den Ministerrat.</w:t>
      </w:r>
    </w:p>
    <w:p>
      <w:r>
        <w:rPr>
          <w:color w:val="555555"/>
          <w:sz w:val="17"/>
        </w:rPr>
        <w:t xml:space="preserve">Zitiervorschlag: § 8 SBkBG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https://recht.nulegal.eu/gesetze/SBkBG/8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