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SBkBG</w:t>
      </w:r>
    </w:p>
    <w:p>
      <w:r>
        <w:rPr>
          <w:color w:val="555555"/>
          <w:sz w:val="18"/>
        </w:rPr>
        <w:t xml:space="preserve">Gesetz über die Staatsbank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Vorstand führt die Geschäfte der Bank.</w:t>
      </w:r>
    </w:p>
    <w:p>
      <w:r>
        <w:t xml:space="preserve">(2) Der Vorstand vertritt die Bank gerichtlich und außergerichtlich. Vorstandsmitgliedern gegenüber wird die Bank durch den Verwaltungsratsvorsitzenden vertreten.</w:t>
      </w:r>
    </w:p>
    <w:p>
      <w:r>
        <w:t xml:space="preserve">(3) Der Vorstand besteht aus dem Vorsitzenden, dem stellvertretenden Vorsitzenden und weiteren ordentlichen und stellvertretenden Mitgliedern. Die Vorstandsmitglieder werden vom Verwaltungsrat für höchstens 5 Jahre bestellt. Eine wiederholte Bestellung bzw. vorzeitige Abberufung ist zulässig.</w:t>
      </w:r>
    </w:p>
    <w:p>
      <w:r>
        <w:rPr>
          <w:color w:val="555555"/>
          <w:sz w:val="17"/>
        </w:rPr>
        <w:t xml:space="preserve">Zitiervorschlag: § 5 SBkBG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https://recht.nulegal.eu/gesetze/SBkBG/5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