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SBkBG</w:t>
      </w:r>
    </w:p>
    <w:p>
      <w:r>
        <w:rPr>
          <w:color w:val="555555"/>
          <w:sz w:val="18"/>
        </w:rPr>
        <w:t xml:space="preserve">Gesetz über die Staatsbank Berlin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Organe der Bank sind der Vorstand und der Verwaltungsrat.</w:t>
      </w:r>
    </w:p>
    <w:p>
      <w:r>
        <w:t xml:space="preserve">(2) Aufgaben und Befugnisse der Organe regelt, soweit das Gesetz nichts anderes bestimmt, die Satzung.</w:t>
      </w:r>
    </w:p>
    <w:p>
      <w:r>
        <w:rPr>
          <w:color w:val="555555"/>
          <w:sz w:val="17"/>
        </w:rPr>
        <w:t xml:space="preserve">Zitiervorschlag: § 4 SBkBG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https://recht.nulegal.eu/gesetze/SBkBG/4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