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SBkBG</w:t>
      </w:r>
    </w:p>
    <w:p>
      <w:r>
        <w:rPr>
          <w:color w:val="555555"/>
          <w:sz w:val="18"/>
        </w:rPr>
        <w:t xml:space="preserve">Gesetz über die Staatsbank Berlin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Geschäfte der Bank sind nach kaufmännischen Grundsätzen zu führen. Die Erzielung von Gewinn ist nicht Hauptzweck des Geschäftsbetriebes.</w:t>
      </w:r>
    </w:p>
    <w:p>
      <w:r>
        <w:rPr>
          <w:color w:val="555555"/>
          <w:sz w:val="17"/>
        </w:rPr>
        <w:t xml:space="preserve">Zitiervorschlag: § 3 SBkBG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https://recht.nulegal.eu/gesetze/SBkBG/3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