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13a SBkBG</w:t>
      </w:r>
    </w:p>
    <w:p>
      <w:r>
        <w:rPr>
          <w:color w:val="555555"/>
          <w:sz w:val="18"/>
        </w:rPr>
        <w:t xml:space="preserve">Gesetz über die Staatsbank Berlin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Herstellung der Einheit Deutschlands tritt § 13 außer Kraft; die Zuständigkeiten gemäß § 6 Abs. 2 Nr. 1, 2 und 3, §§ 8, 10 Abs. 2 und § 12 gehen auf den Bundesminister der Finanzen über.</w:t>
      </w:r>
    </w:p>
    <w:p>
      <w:r>
        <w:rPr>
          <w:color w:val="555555"/>
          <w:sz w:val="17"/>
        </w:rPr>
        <w:t xml:space="preserve">Zitiervorschlag: § 13a SBkBG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https://recht.nulegal.eu/gesetze/SBkBG/13a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