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SBkBG</w:t>
      </w:r>
    </w:p>
    <w:p>
      <w:r>
        <w:rPr>
          <w:color w:val="555555"/>
          <w:sz w:val="18"/>
        </w:rPr>
        <w:t xml:space="preserve">Gesetz über die Staatsbank Berlin</w:t>
      </w:r>
    </w:p>
    <w:p>
      <w:r>
        <w:rPr>
          <w:color w:val="555555"/>
          <w:sz w:val="18"/>
        </w:rPr>
        <w:t xml:space="preserve">Stand: 10.06.2019 (konsolidierte Textfassung, kein amtliches Inkrafttretensdatum)</w:t>
      </w:r>
    </w:p>
    <w:p>
      <w:r>
        <w:t xml:space="preserve">(1) Der Minister der Finanzen kann zur Ausführung des Artikels 23 Abs. 7 des Einigungsvertrages durch Rechtsverordnung, die der Zustimmung des Bundesministers der Finanzen bedarf, das Vermögen der Bank als Ganzes ohne Abwicklung im Wege der Gesamtrechtsnachfolge auf ein öffentlich-rechtliches Kreditinstitut in der Bundesrepublik Deutschland oder einen anderen Rechtsträger (Rechtsträger) oder Teile des Vermögens der Bank, jeweils als Gesamtheit, ggf. ohne Abwicklung auf einen oder mehrere Rechtsträger übertragen. Bei Teilübertragungen sind in der Verordnung oder in einer ihren Bestandteil bildenden Anlage die jeweils auf jeden übernehmenden Rechtsträger übergehenden Gegenstände und Verbindlichkeiten zu bezeichnen. Werden nach der Verordnung Gegenstände oder Verbindlichkeiten von einer Übertragung nicht erfaßt, so ist dieser Teil des Vermögens abzuwickeln.</w:t>
      </w:r>
    </w:p>
    <w:p>
      <w:r>
        <w:t xml:space="preserve">(2) Vor dem Erlaß der Verordnung sind die Leitungs- und Aufsichtsorgane der Bank und der beteiligten Rechtsträger zu hören.</w:t>
      </w:r>
    </w:p>
    <w:p>
      <w:r>
        <w:t xml:space="preserve">(3) Die Übertragung wird am Ende des Tages nach der Verkündung der Verordnung im Gesetzblatt der Deutschen Demokratischen Republik wirksam. Das Vermögen der Bank geht einschließlich der Verbindlichkeiten, ggf. nach Maßgabe der in der Verordnung oder in ihrer Anlage festgelegten Aufteilung, auf den oder die in der Verordnung bezeichneten Rechtsträger über. § 613a des Bürgerlichen Gesetzbuches gilt nicht. Bei einer Übertragung des gesamten Vermögens erlischt die Bank. Auf Grund der Übertragung werden keine Steuern erhoben.</w:t>
      </w:r>
    </w:p>
    <w:p>
      <w:r>
        <w:rPr>
          <w:color w:val="555555"/>
          <w:sz w:val="17"/>
        </w:rPr>
        <w:t xml:space="preserve">Zitiervorschlag: § 13 SBkBG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https://recht.nulegal.eu/gesetze/SBkBG/13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