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SBkBG</w:t>
      </w:r>
    </w:p>
    <w:p>
      <w:r>
        <w:rPr>
          <w:color w:val="555555"/>
          <w:sz w:val="18"/>
        </w:rPr>
        <w:t xml:space="preserve">Gesetz über die Staatsbank Berlin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Bildung von Rückstellungen entscheidet der Verwaltungsrat auf Vorschlag des Vorstandes.</w:t>
      </w:r>
    </w:p>
    <w:p>
      <w:r>
        <w:t xml:space="preserve">(2) Über die Bildung von Rücklagen aus dem Jahresüberschuß und die weitere Gewinnverwendung entscheidet der Minister der Finanzen auf Vorschlag des Verwaltungsrates.</w:t>
      </w:r>
    </w:p>
    <w:p>
      <w:r>
        <w:rPr>
          <w:color w:val="555555"/>
          <w:sz w:val="17"/>
        </w:rPr>
        <w:t xml:space="preserve">Zitiervorschlag: § 10 SBkBG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https://recht.nulegal.eu/gesetze/SBkBG/10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SBkBG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