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SBGWV 2017 — Wahlunterlagen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Wahlunterlagen sind zu nehmen:</w:t>
      </w:r>
    </w:p>
    <w:p>
      <w:pPr>
        <w:ind w:left="420"/>
      </w:pPr>
      <w:r>
        <w:t xml:space="preserve">1. die Wählerverzeichnisse,</w:t>
      </w:r>
    </w:p>
    <w:p>
      <w:pPr>
        <w:ind w:left="420"/>
      </w:pPr>
      <w:r>
        <w:t xml:space="preserve">2. die Wahlausschreiben,</w:t>
      </w:r>
    </w:p>
    <w:p>
      <w:pPr>
        <w:ind w:left="420"/>
      </w:pPr>
      <w:r>
        <w:t xml:space="preserve">3. die Wahlvorschläge,</w:t>
      </w:r>
    </w:p>
    <w:p>
      <w:pPr>
        <w:ind w:left="420"/>
      </w:pPr>
      <w:r>
        <w:t xml:space="preserve">4. die Bewerberliste,</w:t>
      </w:r>
    </w:p>
    <w:p>
      <w:pPr>
        <w:ind w:left="420"/>
      </w:pPr>
      <w:r>
        <w:t xml:space="preserve">5. die Stimmzettel,</w:t>
      </w:r>
    </w:p>
    <w:p>
      <w:pPr>
        <w:ind w:left="420"/>
      </w:pPr>
      <w:r>
        <w:t xml:space="preserve">6. die ungültigen Stimmzettel,</w:t>
      </w:r>
    </w:p>
    <w:p>
      <w:pPr>
        <w:ind w:left="420"/>
      </w:pPr>
      <w:r>
        <w:t xml:space="preserve">7. die Stimmzettelumschläge,</w:t>
      </w:r>
    </w:p>
    <w:p>
      <w:pPr>
        <w:ind w:left="420"/>
      </w:pPr>
      <w:r>
        <w:t xml:space="preserve">8. die ungültigen Stimmzettelumschläge,</w:t>
      </w:r>
    </w:p>
    <w:p>
      <w:pPr>
        <w:ind w:left="420"/>
      </w:pPr>
      <w:r>
        <w:t xml:space="preserve">9. die Wahlbriefe,</w:t>
      </w:r>
    </w:p>
    <w:p>
      <w:pPr>
        <w:ind w:left="420"/>
      </w:pPr>
      <w:r>
        <w:t xml:space="preserve">10. die verspätet eingegangenen Wahlbriefe,</w:t>
      </w:r>
    </w:p>
    <w:p>
      <w:pPr>
        <w:ind w:left="420"/>
      </w:pPr>
      <w:r>
        <w:t xml:space="preserve">11. die vorgedruckten Erklärungen,</w:t>
      </w:r>
    </w:p>
    <w:p>
      <w:pPr>
        <w:ind w:left="420"/>
      </w:pPr>
      <w:r>
        <w:t xml:space="preserve">12. die Wahlniederschrift,</w:t>
      </w:r>
    </w:p>
    <w:p>
      <w:pPr>
        <w:ind w:left="420"/>
      </w:pPr>
      <w:r>
        <w:t xml:space="preserve">13. die Einsprüche einschließlich der über sie getroffenen Entscheidungen und</w:t>
      </w:r>
    </w:p>
    <w:p>
      <w:pPr>
        <w:ind w:left="420"/>
      </w:pPr>
      <w:r>
        <w:t xml:space="preserve">14. der Vermerk über die Bekanntgabe des Wahlergebnisses.</w:t>
      </w:r>
    </w:p>
    <w:p>
      <w:r>
        <w:t xml:space="preserve">(2) Der Vertrauenspersonenausschuss bewahrt die Wahlunterlagen bis zum Ende seiner Amtszeit auf und vernichtet sie sodann.</w:t>
      </w:r>
    </w:p>
    <w:p>
      <w:r>
        <w:rPr>
          <w:color w:val="555555"/>
          <w:sz w:val="17"/>
        </w:rPr>
        <w:t xml:space="preserve">Zitiervorschlag: § 53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