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SBGWV 2017 — Wahlvorstand</w:t>
      </w:r>
    </w:p>
    <w:p>
      <w:r>
        <w:rPr>
          <w:color w:val="555555"/>
          <w:sz w:val="18"/>
        </w:rPr>
        <w:t xml:space="preserve">Wahlverordnung zum Soldatinnen- und Soldatenbeteiligungsgesetz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Neben dem Wahlvorstand nach § 41 Absatz 3 Satz 1 des Soldatinnen- und Soldatenbeteiligungsgesetzes können im Einvernehmen zwischen dem Wahlvorstand und den Kommandos im Sinne des § 39 Absatz 1 des Soldatinnen- und Soldatenbeteiligungsgesetzes dezentrale Wahlvorstände gebildet werden</w:t>
      </w:r>
    </w:p>
    <w:p>
      <w:pPr>
        <w:ind w:left="420"/>
      </w:pPr>
      <w:r>
        <w:t xml:space="preserve">1. bei Dienststellen, die den Kommandos im Sinne des § 39 Absatz 1 des Soldatinnen- und Soldatenbeteiligungsgesetzes nachgeordnet sind, sowie</w:t>
      </w:r>
    </w:p>
    <w:p>
      <w:pPr>
        <w:ind w:left="420"/>
      </w:pPr>
      <w:r>
        <w:t xml:space="preserve">2. für sicherheitsempfindliche Bereiche.</w:t>
      </w:r>
    </w:p>
    <w:p>
      <w:r>
        <w:t xml:space="preserve">Der Wahlvorstand nach § 41 Absatz 3 Satz 1 des Soldatinnen- und Soldatenbeteiligungsgesetzes ist in diesen Fällen zentraler Wahlvorstand.</w:t>
      </w:r>
    </w:p>
    <w:p>
      <w:r>
        <w:t xml:space="preserve">(2) Die Mitglieder des Wahlvorstands sind für die Durchführung der Wahl von ihrer dienstlichen Tätigkeit freizustellen, soweit erforderlich.</w:t>
      </w:r>
    </w:p>
    <w:p>
      <w:r>
        <w:t xml:space="preserve">(3) Der Wahlvorstand fasst seine Beschlüsse mit einfacher Mehrheit seiner Mitglieder.</w:t>
      </w:r>
    </w:p>
    <w:p>
      <w:r>
        <w:rPr>
          <w:color w:val="555555"/>
          <w:sz w:val="17"/>
        </w:rPr>
        <w:t xml:space="preserve">Zitiervorschlag: § 37 SBGWV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https://recht.nulegal.eu/gesetze/SBGWV%202017/37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