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SBGWV 2017 — Feststellung des Wahlergebnisses, Wahlniederschrift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Das Wahlergebnis wird durch den dezentralen Wahlvorstand festgestellt.</w:t>
      </w:r>
    </w:p>
    <w:p>
      <w:r>
        <w:t xml:space="preserve">(2) Der Wahlvorstand fertigt über das Ergebnis eine Wahlniederschrift an und unterzeichnet diese. Die Wahlniederschrift enthält, getrennt nach Wahlgängen,</w:t>
      </w:r>
    </w:p>
    <w:p>
      <w:pPr>
        <w:ind w:left="420"/>
      </w:pPr>
      <w:r>
        <w:t xml:space="preserve">1. die Zahl der Wahlberechtigten,</w:t>
      </w:r>
    </w:p>
    <w:p>
      <w:pPr>
        <w:ind w:left="420"/>
      </w:pPr>
      <w:r>
        <w:t xml:space="preserve">2. die Zahl der Stimmzettelumschläge und Wahlbriefe, die nach § 31 Absatz 4 Satz 3 und § 31 Absatz 6 ungeöffnet bei den Wahlunterlagen aufzubewahren sind,</w:t>
      </w:r>
    </w:p>
    <w:p>
      <w:pPr>
        <w:ind w:left="420"/>
      </w:pPr>
      <w:r>
        <w:t xml:space="preserve">3. die Zahl der gültigen Stimmzettel,</w:t>
      </w:r>
    </w:p>
    <w:p>
      <w:pPr>
        <w:ind w:left="420"/>
      </w:pPr>
      <w:r>
        <w:t xml:space="preserve">4. die Zahl der ungültigen Stimmzettel,</w:t>
      </w:r>
    </w:p>
    <w:p>
      <w:pPr>
        <w:ind w:left="420"/>
      </w:pPr>
      <w:r>
        <w:t xml:space="preserve">5. die Zahl der Stimmen, die auf die jeweilige Bewerberin oder den jeweiligen Bewerber entfallen, und</w:t>
      </w:r>
    </w:p>
    <w:p>
      <w:pPr>
        <w:ind w:left="420"/>
      </w:pPr>
      <w:r>
        <w:t xml:space="preserve">6. in den Fällen des § 32 Absatz 4 Satz 2 das Ergebnis des Losentscheids.</w:t>
      </w:r>
    </w:p>
    <w:p>
      <w:r>
        <w:t xml:space="preserve">(3) Die Wahlniederschriften werden unverzüglich dem zentralen Wahlvorstand übermittelt. Jeweils eine Kopie der Wahlniederschrift verbleibt bei den dezentralen Wahlvorständen.</w:t>
      </w:r>
    </w:p>
    <w:p>
      <w:r>
        <w:t xml:space="preserve">(4) Über das Gesamtergebnis erstellt der zentrale Wahlvorstand eine Gesamtwahlniederschrift. Die Feststellung des Gesamtergebnisses ist getrennt nach Kommandobereichen, Organisationsbereichen und Wahlgängen vorzunehmen.</w:t>
      </w:r>
    </w:p>
    <w:p>
      <w:r>
        <w:t xml:space="preserve">(5) Besondere Ereignisse bei der Wahl sind in der Wahlniederschrift und in der Gesamtwahlniederschrift zu vermerken.</w:t>
      </w:r>
    </w:p>
    <w:p>
      <w:r>
        <w:rPr>
          <w:color w:val="555555"/>
          <w:sz w:val="17"/>
        </w:rPr>
        <w:t xml:space="preserve">Zitiervorschlag: § 33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