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SBGWV 2017 — Briefwahlunterlagen</w:t>
      </w:r>
    </w:p>
    <w:p>
      <w:r>
        <w:rPr>
          <w:color w:val="555555"/>
          <w:sz w:val="18"/>
        </w:rPr>
        <w:t xml:space="preserve">Wahlverordnung zum Soldatinnen- und Soldatenbeteiligungsgesetz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Jeder dezentrale Wahlvorstand fordert die erforderliche Anzahl von Briefwahlunterlagen beim zentralen Wahlvorstand an. Für die Anforderung ist eine Kopie des Wählerverzeichnisses vorzulegen.</w:t>
      </w:r>
    </w:p>
    <w:p>
      <w:r>
        <w:t xml:space="preserve">(2) Der zentrale Wahlvorstand erstellt anhand der Gesamtbewerberliste die Stimmzettel, getrennt nach Wahlgängen. Die Bewerberinnen und Bewerber sind in alphabetischer Reihenfolge mit den Angaben nach § 28 Absatz 2 Satz 1 aufzuführen.</w:t>
      </w:r>
    </w:p>
    <w:p>
      <w:r>
        <w:t xml:space="preserve">(3) Der zentrale Wahlvorstand stellt die angeforderten Briefwahlunterlagen zusammen und übersendet sie unverzüglich an die dezentralen Wahlvorstände.</w:t>
      </w:r>
    </w:p>
    <w:p>
      <w:r>
        <w:t xml:space="preserve">(4) Der dezentrale Wahlvorstand übersendet den Wahlberechtigten die Briefwahlunterlagen.</w:t>
      </w:r>
    </w:p>
    <w:p>
      <w:r>
        <w:t xml:space="preserve">(5) Die Briefwahlunterlagen bestehen für jede Wahlberechtigte und jeden Wahlberechtigten aus</w:t>
      </w:r>
    </w:p>
    <w:p>
      <w:pPr>
        <w:ind w:left="420"/>
      </w:pPr>
      <w:r>
        <w:t xml:space="preserve">1. einem Stimmzettel für den jeweiligen Wahlgang,</w:t>
      </w:r>
    </w:p>
    <w:p>
      <w:pPr>
        <w:ind w:left="420"/>
      </w:pPr>
      <w:r>
        <w:t xml:space="preserve">2. einem Stimmzettelumschlag,</w:t>
      </w:r>
    </w:p>
    <w:p>
      <w:pPr>
        <w:ind w:left="420"/>
      </w:pPr>
      <w:r>
        <w:t xml:space="preserve">3. einer vorgedruckten Erklärung, dass die oder der Wahlberechtigte den Stimmzettel</w:t>
      </w:r>
    </w:p>
    <w:p>
      <w:pPr>
        <w:ind w:left="780"/>
      </w:pPr>
      <w:r>
        <w:t xml:space="preserve">a) persönlich und geheim gekennzeichnet hat oder</w:t>
      </w:r>
    </w:p>
    <w:p>
      <w:pPr>
        <w:ind w:left="780"/>
      </w:pPr>
      <w:r>
        <w:t xml:space="preserve">b) im Fall eines körperlichen Gebrechens gemäß ihrem oder seinem erklärten Willen durch eine Person des Vertrauens hat kennzeichnen lassen,</w:t>
      </w:r>
    </w:p>
    <w:p>
      <w:pPr>
        <w:ind w:left="420"/>
      </w:pPr>
      <w:r>
        <w:t xml:space="preserve">4. einem an den dezentralen Wahlvorstand adressierten Freiumschlag mit der oder dem Wahlberechtigten als Absenderin oder Absender und der Aufschrift „Schriftliche Stimmabgabe“ und</w:t>
      </w:r>
    </w:p>
    <w:p>
      <w:pPr>
        <w:ind w:left="420"/>
      </w:pPr>
      <w:r>
        <w:t xml:space="preserve">5. einem Begleitschreiben, in denen das Wahlverfahren beschrieben und die Frist für die Rücksendung des Wahlbriefs genannt ist.</w:t>
      </w:r>
    </w:p>
    <w:p>
      <w:r>
        <w:rPr>
          <w:color w:val="555555"/>
          <w:sz w:val="17"/>
        </w:rPr>
        <w:t xml:space="preserve">Zitiervorschlag: § 30 SBGWV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https://recht.nulegal.eu/gesetze/SBGWV%202017/30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