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SBGWV 2017 — Briefwahl</w:t>
      </w:r>
    </w:p>
    <w:p>
      <w:r>
        <w:rPr>
          <w:color w:val="555555"/>
          <w:sz w:val="18"/>
        </w:rPr>
        <w:t xml:space="preserve">Wahlverordnung zum Soldatinnen- und Soldatenbeteiligungsgesetz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Wahl der Mitglieder des Gesamtvertrauenspersonenausschusses findet als Briefwahl statt.</w:t>
      </w:r>
    </w:p>
    <w:p>
      <w:r>
        <w:rPr>
          <w:color w:val="555555"/>
          <w:sz w:val="17"/>
        </w:rPr>
        <w:t xml:space="preserve">Zitiervorschlag: § 24 SBGWV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https://recht.nulegal.eu/gesetze/SBGWV%202017/24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