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SBGV (Brandenburg) — Organe der Stiftung</w:t>
      </w:r>
    </w:p>
    <w:p>
      <w:r>
        <w:rPr>
          <w:color w:val="555555"/>
          <w:sz w:val="18"/>
        </w:rPr>
        <w:t xml:space="preserve">SBG-Errichtungsverordnung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Organe der Stiftung sind:</w:t>
      </w:r>
    </w:p>
    <w:p>
      <w:r>
        <w:t xml:space="preserve">der Stiftungsrat,</w:t>
      </w:r>
    </w:p>
    <w:p>
      <w:r>
        <w:t xml:space="preserve">der Vorstand,</w:t>
      </w:r>
    </w:p>
    <w:p>
      <w:r>
        <w:t xml:space="preserve">der Beirat,</w:t>
      </w:r>
    </w:p>
    <w:p>
      <w:r>
        <w:t xml:space="preserve">die Fachkommission.</w:t>
      </w:r>
    </w:p>
    <w:p>
      <w:r>
        <w:rPr>
          <w:color w:val="555555"/>
          <w:sz w:val="17"/>
        </w:rPr>
        <w:t xml:space="preserve">Zitiervorschlag: § 4 SBGV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