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SBGV (Brandenburg) — Beschäftigte</w:t>
      </w:r>
    </w:p>
    <w:p>
      <w:r>
        <w:rPr>
          <w:color w:val="555555"/>
          <w:sz w:val="18"/>
        </w:rPr>
        <w:t xml:space="preserve">SBG-Errichtungsverordnung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Arbeitsverhältnisse der Beschäftigten der Stiftung werden durch privatrechtliche Arbeitsverträge geregelt. Hinsichtlich der Vertragsinhalte finden die für Tarifbeschäftigte des Landes Brandenburg geltenden tarifrechtlichen Regelungen entsprechend Anwendung.</w:t>
      </w:r>
    </w:p>
    <w:p>
      <w:r>
        <w:rPr>
          <w:color w:val="555555"/>
          <w:sz w:val="17"/>
        </w:rPr>
        <w:t xml:space="preserve">Zitiervorschlag: § 16 SBGV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https://recht.nulegal.eu/gesetze/SBGV/16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