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SBGV (Brandenburg) — Aufwandsentschädigungen</w:t>
      </w:r>
    </w:p>
    <w:p>
      <w:r>
        <w:rPr>
          <w:color w:val="555555"/>
          <w:sz w:val="18"/>
        </w:rPr>
        <w:t xml:space="preserve">SBG-Errichtungsverordnung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Mitglieder des Beirates, der Fachkommission und der Arbeitsgruppen sind ehrenamtlich tätig. Die Stiftung erstattet ihnen die notwendigen nachgewiesenen Auslagen und zahlt ihnen eine Reisekostenvergütung entsprechend den landesrechtlichen Vorschriften.</w:t>
      </w:r>
    </w:p>
    <w:p>
      <w:r>
        <w:rPr>
          <w:color w:val="555555"/>
          <w:sz w:val="17"/>
        </w:rPr>
        <w:t xml:space="preserve">Zitiervorschlag: § 13 SBGV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