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SBGG — Sperrfrist; Vornamenbestimmung bei Rückänderung</w:t>
      </w:r>
    </w:p>
    <w:p>
      <w:r>
        <w:rPr>
          <w:color w:val="555555"/>
          <w:sz w:val="18"/>
        </w:rPr>
        <w:t xml:space="preserve">Gesetz über die Selbstbestimmung in Bezug auf den Geschlechtseintrag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Vor Ablauf eines Jahres nach der Erklärung der Änderung des Geschlechtseintrags und der Vornamen kann die Person keine erneute Erklärung nach § 2 abgeben. Dies gilt nicht in den Fällen des § 3.</w:t>
      </w:r>
    </w:p>
    <w:p>
      <w:r>
        <w:t xml:space="preserve">(2) Bewirkt eine Person mit der Erklärung des Geschlechtseintrags die Änderung zu einem früheren Geschlechtseintrag, so ändern sich ihre Vornamen entsprechend.</w:t>
      </w:r>
    </w:p>
    <w:p>
      <w:r>
        <w:rPr>
          <w:color w:val="555555"/>
          <w:sz w:val="17"/>
        </w:rPr>
        <w:t xml:space="preserve">Zitiervorschlag: § 5 SBGG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