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SBGG — Erklärungen von Minderjährigen und Personen mit Betreuer</w:t>
      </w:r>
    </w:p>
    <w:p>
      <w:r>
        <w:rPr>
          <w:color w:val="555555"/>
          <w:sz w:val="18"/>
        </w:rPr>
        <w:t xml:space="preserve">Gesetz über die Selbstbestimmung in Bezug auf den Geschlechtseintrag</w:t>
      </w:r>
    </w:p>
    <w:p>
      <w:r>
        <w:rPr>
          <w:color w:val="555555"/>
          <w:sz w:val="18"/>
        </w:rPr>
        <w:t xml:space="preserve">Stand: 01.11.2024 (konsolidierte Textfassung, kein amtliches Inkrafttretensdatum)</w:t>
      </w:r>
    </w:p>
    <w:p>
      <w:r>
        <w:t xml:space="preserve">(1) Eine beschränkt geschäftsfähige minderjährige Person, die das 14. Lebensjahr vollendet hat, kann die Erklärungen zur Änderung des Geschlechtseintrags und der Vornamen (§ 2) nur selbst abgeben, bedarf hierzu jedoch der Zustimmung ihres gesetzlichen Vertreters. Stimmt der gesetzliche Vertreter nicht zu, so ersetzt das Familiengericht die Zustimmung, wenn die Änderung des Geschlechtseintrags und der Vornamen dem Kindeswohl nicht widerspricht. Mit der Versicherung nach § 2 Absatz 2 hat die minderjährige Person zu erklären, dass sie beraten ist. Die Beratung kann insbesondere erfolgen durch</w:t>
      </w:r>
    </w:p>
    <w:p>
      <w:pPr>
        <w:ind w:left="420"/>
      </w:pPr>
      <w:r>
        <w:t xml:space="preserve">1. Personen, die über eine psychologische, kinder- und jugendlichenpsychotherapeutische oder kinder- und jugendpsychiatrische Berufsqualifikation verfügen, oder</w:t>
      </w:r>
    </w:p>
    <w:p>
      <w:pPr>
        <w:ind w:left="420"/>
      </w:pPr>
      <w:r>
        <w:t xml:space="preserve">2. öffentliche oder freie Träger der Kinder- und Jugendhilfe.</w:t>
      </w:r>
    </w:p>
    <w:p>
      <w:r>
        <w:t xml:space="preserve">(2) Ist die minderjährige Person geschäftsunfähig oder hat sie das 14. Lebensjahr noch nicht vollendet, kann nur der gesetzliche Vertreter die Erklärungen zur Änderung des Geschlechtseintrags und der Vornamen (§ 2) für die Person abgeben. Die Erklärung bedarf des Einverständnisses des Kindes, wenn es das fünfte Lebensjahr vollendet hat. Ein Vormund bedarf hierzu der Genehmigung des Familiengerichts; das Familiengericht erteilt die Genehmigung, wenn die Erklärung unter Berücksichtigung der Rechte des Mündels aus § 1788 des Bürgerlichen Gesetzbuchs dem Wohl des Mündels nicht widerspricht. Mit der Versicherung nach § 2 Absatz 2 hat der gesetzliche Vertreter zu erklären, dass er entsprechend beraten ist.</w:t>
      </w:r>
    </w:p>
    <w:p>
      <w:r>
        <w:t xml:space="preserve">(3) Für eine geschäftsunfähige volljährige Person, für die in dieser Angelegenheit ein Betreuer bestellt ist, kann nur der Betreuer die Erklärungen zur Änderung des Geschlechtseintrags und der Vornamen nach § 2 abgeben; er bedarf hierzu der Genehmigung des Betreuungsgerichts. Das Betreuungsgericht erteilt die Genehmigung, wenn die Erklärung einem nach § 1821 Absatz 2 bis 4 des Bürgerlichen Gesetzbuchs zu beachtenden Wunsch oder dem mutmaßlichen Willen des Betreuten entspricht.</w:t>
      </w:r>
    </w:p>
    <w:p>
      <w:r>
        <w:rPr>
          <w:color w:val="555555"/>
          <w:sz w:val="17"/>
        </w:rPr>
        <w:t xml:space="preserve">Zitiervorschlag: § 3 SBGG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https://recht.nulegal.eu/gesetze/SBGG/3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