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SBGG — Bußgeldvorschriften</w:t>
      </w:r>
    </w:p>
    <w:p>
      <w:r>
        <w:rPr>
          <w:color w:val="555555"/>
          <w:sz w:val="18"/>
        </w:rPr>
        <w:t xml:space="preserve">Gesetz über die Selbstbestimmung in Bezug auf den Geschlechtseintrag</w:t>
      </w:r>
    </w:p>
    <w:p>
      <w:r>
        <w:rPr>
          <w:color w:val="555555"/>
          <w:sz w:val="18"/>
        </w:rPr>
        <w:t xml:space="preserve">Stand: 01.11.2024 (konsolidierte Textfassung, kein amtliches Inkrafttretensdatum)</w:t>
      </w:r>
    </w:p>
    <w:p>
      <w:r>
        <w:t xml:space="preserve">(1) Ordnungswidrig handelt, wer entgegen § 13 Absatz 1 Satz 1 die Geschlechtszugehörigkeit oder einen Vornamen offenbart und dadurch die betroffene Person absichtlich schädigt.</w:t>
      </w:r>
    </w:p>
    <w:p>
      <w:r>
        <w:t xml:space="preserve">(2) Die Ordnungswidrigkeit kann mit einer Geldbuße bis zu zehntausend Euro geahndet werden.</w:t>
      </w:r>
    </w:p>
    <w:p>
      <w:r>
        <w:rPr>
          <w:color w:val="555555"/>
          <w:sz w:val="17"/>
        </w:rPr>
        <w:t xml:space="preserve">Zitiervorschlag: § 14 SBGG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https://recht.nulegal.eu/gesetze/SBGG/14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