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SBGG — Ziel des Gesetzes; Anwendungsbereich</w:t>
      </w:r>
    </w:p>
    <w:p>
      <w:r>
        <w:rPr>
          <w:color w:val="555555"/>
          <w:sz w:val="18"/>
        </w:rPr>
        <w:t xml:space="preserve">Gesetz über die Selbstbestimmung in Bezug auf den Geschlechtseintrag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Ziel dieses Gesetzes ist es,</w:t>
      </w:r>
    </w:p>
    <w:p>
      <w:pPr>
        <w:ind w:left="420"/>
      </w:pPr>
      <w:r>
        <w:t xml:space="preserve">1. die personenstandsrechtliche Geschlechtszuordnung und die Vornamenswahl von der Einschätzung dritter Personen zu lösen und die Selbstbestimmung der betroffenen Person zu stärken,</w:t>
      </w:r>
    </w:p>
    <w:p>
      <w:pPr>
        <w:ind w:left="420"/>
      </w:pPr>
      <w:r>
        <w:t xml:space="preserve">2. das Recht jeder Person auf Achtung und respektvolle Behandlung in Bezug auf die Geschlechtsidentität zu verwirklichen.</w:t>
      </w:r>
    </w:p>
    <w:p>
      <w:r>
        <w:t xml:space="preserve">(2) Medizinische Maßnahmen werden in diesem Gesetz nicht geregelt.</w:t>
      </w:r>
    </w:p>
    <w:p>
      <w:r>
        <w:t xml:space="preserve">(3) Hat eine Person nach Artikel 7a Absatz 2 des Einführungsgesetzes zum Bürgerlichen Gesetzbuche deutsches Recht gewählt, ist eine Änderung des Geschlechtseintrags und der Vornamen nur zulässig, wenn sie als Ausländer</w:t>
      </w:r>
    </w:p>
    <w:p>
      <w:pPr>
        <w:ind w:left="420"/>
      </w:pPr>
      <w:r>
        <w:t xml:space="preserve">1. ein unbefristetes Aufenthaltsrecht besitzt,</w:t>
      </w:r>
    </w:p>
    <w:p>
      <w:pPr>
        <w:ind w:left="420"/>
      </w:pPr>
      <w:r>
        <w:t xml:space="preserve">2. eine verlängerbare Aufenthaltserlaubnis besitzt und sich rechtmäßig im Inland aufhält oder</w:t>
      </w:r>
    </w:p>
    <w:p>
      <w:pPr>
        <w:ind w:left="420"/>
      </w:pPr>
      <w:r>
        <w:t xml:space="preserve">3. eine Blaue Karte EU besitzt.</w:t>
      </w:r>
    </w:p>
    <w:p>
      <w:r>
        <w:rPr>
          <w:color w:val="555555"/>
          <w:sz w:val="17"/>
        </w:rPr>
        <w:t xml:space="preserve">Zitiervorschlag: § 1 SBGG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