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SBG 2016 — Anfechtung der Wahl</w:t>
      </w:r>
    </w:p>
    <w:p>
      <w:r>
        <w:rPr>
          <w:color w:val="555555"/>
          <w:sz w:val="18"/>
        </w:rPr>
        <w:t xml:space="preserve">Soldatinnen- und Soldatenbeteiligungsgesetz</w:t>
      </w:r>
    </w:p>
    <w:p>
      <w:r>
        <w:rPr>
          <w:color w:val="555555"/>
          <w:sz w:val="18"/>
        </w:rPr>
        <w:t xml:space="preserve">Stand: 10.06.2019 (konsolidierte Textfassung, kein amtliches Inkrafttretensdatum)</w:t>
      </w:r>
    </w:p>
    <w:p>
      <w:r>
        <w:t xml:space="preserve">(1) Die Wahl kann angefochten werden, wenn gegen wesentliche Vorschriften über die Wahlberechtigung, die Wählbarkeit oder das Wahlverfahren verstoßen wurde und eine Berichtigung nicht erfolgt ist. Eine Anfechtung ist nicht möglich, wenn durch den Verstoß das Wahlergebnis nicht verändert oder beeinflusst werden konnte.</w:t>
      </w:r>
    </w:p>
    <w:p>
      <w:r>
        <w:t xml:space="preserve">(2) Anfechtungsberechtigt ist eine Gruppe von mindestens drei Wahlberechtigten oder die oder der Disziplinarvorgesetzte.</w:t>
      </w:r>
    </w:p>
    <w:p>
      <w:r>
        <w:t xml:space="preserve">(3) Die Wahl kann auf Antrag der Anfechtungsberechtigten innerhalb von 14 Tagen nach Bekanntgabe des Wahlergebnisses beim Truppendienstgericht angefochten werden. Das Truppendienstgericht entscheidet in entsprechender Anwendung der Wehrbeschwerdeordnung, ob die Wahl für ungültig zu erklären ist.</w:t>
      </w:r>
    </w:p>
    <w:p>
      <w:r>
        <w:t xml:space="preserve">(4) Die Auswahl der militärischen Beisitzerinnen und Beisitzer des Gerichts bestimmt sich nach dem Dienstgrad der Vertrauensperson. Auf Antrag kann die oder der Vorsitzende den Beginn der Amtszeit der Vertrauensperson bis zur Entscheidung des Truppendienstgerichts aussetzen.</w:t>
      </w:r>
    </w:p>
    <w:p>
      <w:r>
        <w:rPr>
          <w:color w:val="555555"/>
          <w:sz w:val="17"/>
        </w:rPr>
        <w:t xml:space="preserve">Zitiervorschlag: § 7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