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SBG 2016 — Rechtsverordnungen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Das Bundesministerium der Verteidigung wird ermächtigt, durch Rechtsverordnung Vorschriften über die Wahlen nach diesem Gesetz zu erlassen, insbesondere über</w:t>
      </w:r>
    </w:p>
    <w:p>
      <w:pPr>
        <w:ind w:left="420"/>
      </w:pPr>
      <w:r>
        <w:t xml:space="preserve">1. die Abgrenzung der Wahlbereiche,</w:t>
      </w:r>
    </w:p>
    <w:p>
      <w:pPr>
        <w:ind w:left="420"/>
      </w:pPr>
      <w:r>
        <w:t xml:space="preserve">2. die Wahlvorbereitung, die Aufstellung der Bewerberliste und des Wählerverzeichnisses,</w:t>
      </w:r>
    </w:p>
    <w:p>
      <w:pPr>
        <w:ind w:left="420"/>
      </w:pPr>
      <w:r>
        <w:t xml:space="preserve">3. die Stimmabgabe und die Bekanntgabe des Wahlergebnisses,</w:t>
      </w:r>
    </w:p>
    <w:p>
      <w:pPr>
        <w:ind w:left="420"/>
      </w:pPr>
      <w:r>
        <w:t xml:space="preserve">4. die Briefwahl und das vereinfachte Wahlverfahren,</w:t>
      </w:r>
    </w:p>
    <w:p>
      <w:pPr>
        <w:ind w:left="420"/>
      </w:pPr>
      <w:r>
        <w:t xml:space="preserve">5. die Feststellung des Wahlergebnisses und die Bekanntgabe der Gewählten sowie</w:t>
      </w:r>
    </w:p>
    <w:p>
      <w:pPr>
        <w:ind w:left="420"/>
      </w:pPr>
      <w:r>
        <w:t xml:space="preserve">6. die Aufbewahrung der Wahlunterlagen.</w:t>
      </w:r>
    </w:p>
    <w:p>
      <w:r>
        <w:t xml:space="preserve">(2) Das Bundesministerium der Verteidigung wird ermächtigt, durch Rechtsverordnung die den Behörden der Mittelstufe nach § 4 Absatz 1 Nummer 4 des Bundespersonalvertretungsgesetzes entsprechenden militärischen Dienststellen zu bestimmen, bei denen Bezirkspersonalräte gebildet werden.</w:t>
      </w:r>
    </w:p>
    <w:p>
      <w:r>
        <w:rPr>
          <w:color w:val="555555"/>
          <w:sz w:val="17"/>
        </w:rPr>
        <w:t xml:space="preserve">Zitiervorschlag: § 64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