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SBG 2016 — Nichtöffentlichkeit</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Sitzungen der Vertrauenspersonenausschüsse sind nicht öffentlich.</w:t>
      </w:r>
    </w:p>
    <w:p>
      <w:r>
        <w:t xml:space="preserve">(2) Der Gesamtvertrauenspersonenausschuss kann die Bundesministerin oder den Bundesminister der Verteidigung oder Vertreterinnen oder Vertreter des Bundesministeriums der Verteidigung zu seinen Sitzungen einladen. Auf Antrag eines Drittels der Mitglieder des Gesamtvertrauenspersonenausschusses können jeweils Beauftragte von Berufsorganisationen der Soldatinnen und Soldaten und deren Gewerkschaften an der Sitzung beratend teilnehmen.</w:t>
      </w:r>
    </w:p>
    <w:p>
      <w:r>
        <w:t xml:space="preserve">(3) Die Vertrauenspersonenausschüsse im Sinne des § 39 Absatz 1 können die jeweilige Inspekteurin oder den jeweiligen Inspekteur oder die jeweilige Inhaberin oder den jeweiligen Inhaber einer entsprechenden Dienststellung oder Vertreterinnen oder Vertreter des jeweiligen Kommandos zu den Sitzungen einladen. Absatz 2 Satz 2 gilt entsprechend.</w:t>
      </w:r>
    </w:p>
    <w:p>
      <w:r>
        <w:rPr>
          <w:color w:val="555555"/>
          <w:sz w:val="17"/>
        </w:rPr>
        <w:t xml:space="preserve">Zitiervorschlag: § 47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